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D4237" w:rsidRDefault="00000000">
      <w:pPr>
        <w:spacing w:before="200" w:after="300"/>
        <w:jc w:val="center"/>
      </w:pPr>
      <w:r>
        <w:rPr>
          <w:rFonts w:ascii="Calibri" w:eastAsia="Calibri" w:hAnsi="Calibri" w:cs="Calibri"/>
          <w:b/>
          <w:bCs/>
          <w:sz w:val="26"/>
          <w:szCs w:val="26"/>
        </w:rPr>
        <w:t>LEILÃO DE ALIENAÇÃO FIDUCIÁRIA</w:t>
      </w:r>
    </w:p>
    <w:p w14:paraId="00000002" w14:textId="73288F62" w:rsidR="002D4237" w:rsidRDefault="00000000">
      <w:pPr>
        <w:spacing w:after="200" w:line="276" w:lineRule="auto"/>
        <w:jc w:val="both"/>
      </w:pPr>
      <w:r>
        <w:rPr>
          <w:rFonts w:ascii="Calibri" w:eastAsia="Calibri" w:hAnsi="Calibri" w:cs="Calibri"/>
          <w:b/>
          <w:bCs/>
          <w:sz w:val="21"/>
          <w:szCs w:val="21"/>
        </w:rPr>
        <w:t xml:space="preserve">STEPHANI DA SILVA NEVES, </w:t>
      </w:r>
      <w:r>
        <w:rPr>
          <w:rFonts w:ascii="Calibri" w:eastAsia="Calibri" w:hAnsi="Calibri" w:cs="Calibri"/>
          <w:sz w:val="21"/>
          <w:szCs w:val="21"/>
        </w:rPr>
        <w:t xml:space="preserve">leiloeira oficial inscrita na </w:t>
      </w:r>
      <w:r>
        <w:rPr>
          <w:rFonts w:ascii="Calibri" w:eastAsia="Calibri" w:hAnsi="Calibri" w:cs="Calibri"/>
          <w:b/>
          <w:bCs/>
          <w:sz w:val="21"/>
          <w:szCs w:val="21"/>
        </w:rPr>
        <w:t xml:space="preserve">JUCESP n° 1576, </w:t>
      </w:r>
      <w:r>
        <w:rPr>
          <w:rFonts w:ascii="Calibri" w:eastAsia="Calibri" w:hAnsi="Calibri" w:cs="Calibri"/>
          <w:sz w:val="21"/>
          <w:szCs w:val="21"/>
        </w:rPr>
        <w:t xml:space="preserve">com endereço à Rua Barão do Triunfo, 427, sala 509 e 510, Brooklin, São Paulo/SP, devidamente autorizada pela Credora Fiduciária </w:t>
      </w:r>
      <w:r>
        <w:rPr>
          <w:rFonts w:ascii="Calibri" w:eastAsia="Calibri" w:hAnsi="Calibri" w:cs="Calibri"/>
          <w:b/>
          <w:bCs/>
          <w:sz w:val="21"/>
          <w:szCs w:val="21"/>
        </w:rPr>
        <w:t>VERT COMPANHIA SECURITIZADORA</w:t>
      </w:r>
      <w:r>
        <w:rPr>
          <w:rFonts w:ascii="Calibri" w:eastAsia="Calibri" w:hAnsi="Calibri" w:cs="Calibri"/>
          <w:sz w:val="21"/>
          <w:szCs w:val="21"/>
        </w:rPr>
        <w:t xml:space="preserve">, doravante designada </w:t>
      </w:r>
      <w:r>
        <w:rPr>
          <w:rFonts w:ascii="Calibri" w:eastAsia="Calibri" w:hAnsi="Calibri" w:cs="Calibri"/>
          <w:b/>
          <w:bCs/>
          <w:sz w:val="21"/>
          <w:szCs w:val="21"/>
        </w:rPr>
        <w:t>VENDEDORA</w:t>
      </w:r>
      <w:r>
        <w:rPr>
          <w:rFonts w:ascii="Calibri" w:eastAsia="Calibri" w:hAnsi="Calibri" w:cs="Calibri"/>
          <w:sz w:val="21"/>
          <w:szCs w:val="21"/>
        </w:rPr>
        <w:t xml:space="preserve">, inscrita no CNPJ sob n° </w:t>
      </w:r>
      <w:r>
        <w:rPr>
          <w:rFonts w:ascii="Calibri" w:eastAsia="Calibri" w:hAnsi="Calibri" w:cs="Calibri"/>
          <w:b/>
          <w:bCs/>
          <w:sz w:val="21"/>
          <w:szCs w:val="21"/>
        </w:rPr>
        <w:t>25.005.683/0001-09</w:t>
      </w:r>
      <w:r>
        <w:rPr>
          <w:rFonts w:ascii="Calibri" w:eastAsia="Calibri" w:hAnsi="Calibri" w:cs="Calibri"/>
          <w:sz w:val="21"/>
          <w:szCs w:val="21"/>
        </w:rPr>
        <w:t xml:space="preserve">, com sede na Rua Cardeal Arcoverde, 2365, 11° andar, Pinheiros, São Paulo/SP, levará a </w:t>
      </w:r>
      <w:r>
        <w:rPr>
          <w:rFonts w:ascii="Calibri" w:eastAsia="Calibri" w:hAnsi="Calibri" w:cs="Calibri"/>
          <w:b/>
          <w:bCs/>
          <w:sz w:val="21"/>
          <w:szCs w:val="21"/>
        </w:rPr>
        <w:t>PÚBLICO LEILÃO</w:t>
      </w:r>
      <w:r>
        <w:rPr>
          <w:rFonts w:ascii="Calibri" w:eastAsia="Calibri" w:hAnsi="Calibri" w:cs="Calibri"/>
          <w:sz w:val="21"/>
          <w:szCs w:val="21"/>
        </w:rPr>
        <w:t xml:space="preserve">, de modo </w:t>
      </w:r>
      <w:r>
        <w:rPr>
          <w:rFonts w:ascii="Calibri" w:eastAsia="Calibri" w:hAnsi="Calibri" w:cs="Calibri"/>
          <w:b/>
          <w:bCs/>
          <w:sz w:val="21"/>
          <w:szCs w:val="21"/>
        </w:rPr>
        <w:t>On-line</w:t>
      </w:r>
      <w:r>
        <w:rPr>
          <w:rFonts w:ascii="Calibri" w:eastAsia="Calibri" w:hAnsi="Calibri" w:cs="Calibri"/>
          <w:sz w:val="21"/>
          <w:szCs w:val="21"/>
        </w:rPr>
        <w:t xml:space="preserve">, através do site: </w:t>
      </w:r>
      <w:r>
        <w:rPr>
          <w:rFonts w:ascii="Calibri" w:eastAsia="Calibri" w:hAnsi="Calibri" w:cs="Calibri"/>
          <w:b/>
          <w:bCs/>
          <w:sz w:val="21"/>
          <w:szCs w:val="21"/>
        </w:rPr>
        <w:t>www.leiloariasmart.com.br</w:t>
      </w:r>
      <w:r>
        <w:rPr>
          <w:rFonts w:ascii="Calibri" w:eastAsia="Calibri" w:hAnsi="Calibri" w:cs="Calibri"/>
          <w:sz w:val="21"/>
          <w:szCs w:val="21"/>
        </w:rPr>
        <w:t xml:space="preserve">, de acordo com os termos da Lei n° 9.514/97, artigo 27 e parágrafos, </w:t>
      </w:r>
      <w:r>
        <w:rPr>
          <w:rFonts w:ascii="Calibri" w:eastAsia="Calibri" w:hAnsi="Calibri" w:cs="Calibri"/>
          <w:b/>
          <w:bCs/>
          <w:sz w:val="21"/>
          <w:szCs w:val="21"/>
        </w:rPr>
        <w:t>no dia 23/09/2026 às 14h00</w:t>
      </w:r>
      <w:r>
        <w:rPr>
          <w:rFonts w:ascii="Calibri" w:eastAsia="Calibri" w:hAnsi="Calibri" w:cs="Calibri"/>
          <w:sz w:val="21"/>
          <w:szCs w:val="21"/>
        </w:rPr>
        <w:t xml:space="preserve">, em </w:t>
      </w:r>
      <w:r>
        <w:rPr>
          <w:rFonts w:ascii="Calibri" w:eastAsia="Calibri" w:hAnsi="Calibri" w:cs="Calibri"/>
          <w:b/>
          <w:bCs/>
          <w:sz w:val="21"/>
          <w:szCs w:val="21"/>
        </w:rPr>
        <w:t>PRIMEIRO LEILÃO</w:t>
      </w:r>
      <w:r>
        <w:rPr>
          <w:rFonts w:ascii="Calibri" w:eastAsia="Calibri" w:hAnsi="Calibri" w:cs="Calibri"/>
          <w:sz w:val="21"/>
          <w:szCs w:val="21"/>
        </w:rPr>
        <w:t xml:space="preserve">, com lance mínimo igual ou superior a </w:t>
      </w:r>
      <w:r w:rsidR="00FA7623" w:rsidRPr="00FA7623">
        <w:rPr>
          <w:rFonts w:ascii="Calibri" w:eastAsia="Calibri" w:hAnsi="Calibri" w:cs="Calibri"/>
          <w:b/>
          <w:bCs/>
          <w:sz w:val="21"/>
          <w:szCs w:val="21"/>
        </w:rPr>
        <w:t>R$ 469.993,59 (quatrocentos e sessenta e nove mil, novecentos e noventa e três reais e cinquenta e nove centavos)</w:t>
      </w:r>
      <w:r w:rsidR="00FA7623">
        <w:rPr>
          <w:rFonts w:ascii="Calibri" w:eastAsia="Calibri" w:hAnsi="Calibri" w:cs="Calibri"/>
          <w:b/>
          <w:bCs/>
          <w:sz w:val="21"/>
          <w:szCs w:val="21"/>
        </w:rPr>
        <w:t>,</w:t>
      </w:r>
      <w:r>
        <w:rPr>
          <w:rFonts w:ascii="Calibri" w:eastAsia="Calibri" w:hAnsi="Calibri" w:cs="Calibri"/>
          <w:sz w:val="21"/>
          <w:szCs w:val="21"/>
        </w:rPr>
        <w:t xml:space="preserve"> o imóvel abaixo descrito, com a propriedade consolidada em nome da Credora Fiduciária, que assim se descreve:</w:t>
      </w:r>
    </w:p>
    <w:p w14:paraId="00000003" w14:textId="77777777" w:rsidR="002D4237" w:rsidRDefault="00000000">
      <w:pPr>
        <w:spacing w:after="200" w:line="276" w:lineRule="auto"/>
        <w:jc w:val="both"/>
      </w:pPr>
      <w:r>
        <w:rPr>
          <w:rFonts w:ascii="Calibri" w:eastAsia="Calibri" w:hAnsi="Calibri" w:cs="Calibri"/>
          <w:b/>
          <w:bCs/>
          <w:sz w:val="21"/>
          <w:szCs w:val="21"/>
        </w:rPr>
        <w:t xml:space="preserve">IMÓVEL DA MATRÍCULA Nº 16.126 </w:t>
      </w:r>
      <w:r>
        <w:rPr>
          <w:rFonts w:ascii="Calibri" w:eastAsia="Calibri" w:hAnsi="Calibri" w:cs="Calibri"/>
          <w:sz w:val="21"/>
          <w:szCs w:val="21"/>
        </w:rPr>
        <w:t xml:space="preserve">do Oficial de Registro de Imóveis, Títulos e Documentos e Civil de Pessoa Jurídica da Comarca de Mogi Guaçu/SP: </w:t>
      </w:r>
      <w:r>
        <w:rPr>
          <w:rFonts w:ascii="Calibri" w:eastAsia="Calibri" w:hAnsi="Calibri" w:cs="Calibri"/>
          <w:b/>
          <w:bCs/>
          <w:sz w:val="21"/>
          <w:szCs w:val="21"/>
        </w:rPr>
        <w:t xml:space="preserve">Localização: </w:t>
      </w:r>
      <w:r>
        <w:rPr>
          <w:rFonts w:ascii="Calibri" w:eastAsia="Calibri" w:hAnsi="Calibri" w:cs="Calibri"/>
          <w:sz w:val="21"/>
          <w:szCs w:val="21"/>
        </w:rPr>
        <w:t xml:space="preserve">Rua José </w:t>
      </w:r>
      <w:proofErr w:type="spellStart"/>
      <w:r>
        <w:rPr>
          <w:rFonts w:ascii="Calibri" w:eastAsia="Calibri" w:hAnsi="Calibri" w:cs="Calibri"/>
          <w:sz w:val="21"/>
          <w:szCs w:val="21"/>
        </w:rPr>
        <w:t>Antonio</w:t>
      </w:r>
      <w:proofErr w:type="spellEnd"/>
      <w:r>
        <w:rPr>
          <w:rFonts w:ascii="Calibri" w:eastAsia="Calibri" w:hAnsi="Calibri" w:cs="Calibri"/>
          <w:sz w:val="21"/>
          <w:szCs w:val="21"/>
        </w:rPr>
        <w:t xml:space="preserve"> Ferrari Filho, nº 364, Jardim Samira, Mogi Guaçu/SP, CEP 13.841-027. </w:t>
      </w:r>
      <w:r>
        <w:rPr>
          <w:rFonts w:ascii="Calibri" w:eastAsia="Calibri" w:hAnsi="Calibri" w:cs="Calibri"/>
          <w:b/>
          <w:bCs/>
          <w:sz w:val="21"/>
          <w:szCs w:val="21"/>
        </w:rPr>
        <w:t xml:space="preserve">Descrição: </w:t>
      </w:r>
      <w:r>
        <w:rPr>
          <w:rFonts w:ascii="Calibri" w:eastAsia="Calibri" w:hAnsi="Calibri" w:cs="Calibri"/>
          <w:sz w:val="21"/>
          <w:szCs w:val="21"/>
        </w:rPr>
        <w:t xml:space="preserve">Um lote de terreno sob nº 1 (um) da quadra 2 (dois), do loteamento denominado "Jardim Samira", com área de 300,00m², sendo 2,00m em reta para a Rua "1"; 16,00m em curva entre a Rua "1" e Rua Francisco </w:t>
      </w:r>
      <w:proofErr w:type="spellStart"/>
      <w:r>
        <w:rPr>
          <w:rFonts w:ascii="Calibri" w:eastAsia="Calibri" w:hAnsi="Calibri" w:cs="Calibri"/>
          <w:sz w:val="21"/>
          <w:szCs w:val="21"/>
        </w:rPr>
        <w:t>Pansani</w:t>
      </w:r>
      <w:proofErr w:type="spellEnd"/>
      <w:r>
        <w:rPr>
          <w:rFonts w:ascii="Calibri" w:eastAsia="Calibri" w:hAnsi="Calibri" w:cs="Calibri"/>
          <w:sz w:val="21"/>
          <w:szCs w:val="21"/>
        </w:rPr>
        <w:t xml:space="preserve">; 25,00m do lado esquerdo confrontando com a Rua Francisco </w:t>
      </w:r>
      <w:proofErr w:type="spellStart"/>
      <w:r>
        <w:rPr>
          <w:rFonts w:ascii="Calibri" w:eastAsia="Calibri" w:hAnsi="Calibri" w:cs="Calibri"/>
          <w:sz w:val="21"/>
          <w:szCs w:val="21"/>
        </w:rPr>
        <w:t>Pansani</w:t>
      </w:r>
      <w:proofErr w:type="spellEnd"/>
      <w:r>
        <w:rPr>
          <w:rFonts w:ascii="Calibri" w:eastAsia="Calibri" w:hAnsi="Calibri" w:cs="Calibri"/>
          <w:sz w:val="21"/>
          <w:szCs w:val="21"/>
        </w:rPr>
        <w:t xml:space="preserve">; e 13,00m nos fundos para o loteamento Jardim Hedy. A antiga Rua "1" do Jardim Samira denomina-se atualmente Rua José </w:t>
      </w:r>
      <w:proofErr w:type="spellStart"/>
      <w:r>
        <w:rPr>
          <w:rFonts w:ascii="Calibri" w:eastAsia="Calibri" w:hAnsi="Calibri" w:cs="Calibri"/>
          <w:sz w:val="21"/>
          <w:szCs w:val="21"/>
        </w:rPr>
        <w:t>Antonio</w:t>
      </w:r>
      <w:proofErr w:type="spellEnd"/>
      <w:r>
        <w:rPr>
          <w:rFonts w:ascii="Calibri" w:eastAsia="Calibri" w:hAnsi="Calibri" w:cs="Calibri"/>
          <w:sz w:val="21"/>
          <w:szCs w:val="21"/>
        </w:rPr>
        <w:t xml:space="preserve"> Ferrari Filho. Nos fundos do lote foi edificado um prédio residencial de tijolos, coberto de telhas, contendo quatro cômodos internos e um corredor, com frente para a Rua José </w:t>
      </w:r>
      <w:proofErr w:type="spellStart"/>
      <w:r>
        <w:rPr>
          <w:rFonts w:ascii="Calibri" w:eastAsia="Calibri" w:hAnsi="Calibri" w:cs="Calibri"/>
          <w:sz w:val="21"/>
          <w:szCs w:val="21"/>
        </w:rPr>
        <w:t>Antonio</w:t>
      </w:r>
      <w:proofErr w:type="spellEnd"/>
      <w:r>
        <w:rPr>
          <w:rFonts w:ascii="Calibri" w:eastAsia="Calibri" w:hAnsi="Calibri" w:cs="Calibri"/>
          <w:sz w:val="21"/>
          <w:szCs w:val="21"/>
        </w:rPr>
        <w:t xml:space="preserve"> Ferrari Filho, sob o nº 364. Inscrição Municipal: NE.12.10.07.026-000.</w:t>
      </w:r>
    </w:p>
    <w:p w14:paraId="00000004" w14:textId="77777777" w:rsidR="002D4237" w:rsidRDefault="00000000">
      <w:pPr>
        <w:spacing w:after="200" w:line="276" w:lineRule="auto"/>
        <w:jc w:val="both"/>
      </w:pPr>
      <w:r>
        <w:rPr>
          <w:rFonts w:ascii="Calibri" w:eastAsia="Calibri" w:hAnsi="Calibri" w:cs="Calibri"/>
          <w:b/>
          <w:bCs/>
          <w:sz w:val="21"/>
          <w:szCs w:val="21"/>
        </w:rPr>
        <w:t>Ocupado. Desocupação por conta do adquirente, nos termos do art. 30 da Lei 9.514/97.</w:t>
      </w:r>
    </w:p>
    <w:p w14:paraId="00000005" w14:textId="77777777" w:rsidR="002D4237" w:rsidRDefault="00000000">
      <w:pPr>
        <w:spacing w:after="200" w:line="276" w:lineRule="auto"/>
        <w:jc w:val="both"/>
      </w:pPr>
      <w:r>
        <w:rPr>
          <w:rFonts w:ascii="Calibri" w:eastAsia="Calibri" w:hAnsi="Calibri" w:cs="Calibri"/>
          <w:sz w:val="21"/>
          <w:szCs w:val="21"/>
        </w:rPr>
        <w:t>Regularização e encargos perante os órgãos competentes, inclusive de eventual divergência da área construída e do terreno que vierem a ser apuradas no local, bem como a averbação da construção e da numeração do logradouro, correrão por conta do comprador; fica sob responsabilidade do arrematante eventuais pesquisas de débitos e ônus em relação ao imóvel.</w:t>
      </w:r>
    </w:p>
    <w:p w14:paraId="00000006" w14:textId="7C07E459" w:rsidR="002D4237" w:rsidRDefault="00000000">
      <w:pPr>
        <w:spacing w:after="200" w:line="276" w:lineRule="auto"/>
        <w:jc w:val="both"/>
        <w:rPr>
          <w:rFonts w:ascii="Calibri" w:eastAsia="Calibri" w:hAnsi="Calibri" w:cs="Calibri"/>
          <w:sz w:val="21"/>
          <w:szCs w:val="21"/>
        </w:rPr>
      </w:pPr>
      <w:r>
        <w:rPr>
          <w:rFonts w:ascii="Calibri" w:eastAsia="Calibri" w:hAnsi="Calibri" w:cs="Calibri"/>
          <w:sz w:val="21"/>
          <w:szCs w:val="21"/>
        </w:rPr>
        <w:t xml:space="preserve">Caso não haja licitante em primeiro leilão, fica desde já designado o dia </w:t>
      </w:r>
      <w:r>
        <w:rPr>
          <w:rFonts w:ascii="Calibri" w:eastAsia="Calibri" w:hAnsi="Calibri" w:cs="Calibri"/>
          <w:b/>
          <w:bCs/>
          <w:sz w:val="21"/>
          <w:szCs w:val="21"/>
        </w:rPr>
        <w:t>30/09/2026</w:t>
      </w:r>
      <w:r>
        <w:rPr>
          <w:rFonts w:ascii="Calibri" w:eastAsia="Calibri" w:hAnsi="Calibri" w:cs="Calibri"/>
          <w:sz w:val="21"/>
          <w:szCs w:val="21"/>
        </w:rPr>
        <w:t xml:space="preserve">, no mesmo horário e local, para realização do </w:t>
      </w:r>
      <w:r>
        <w:rPr>
          <w:rFonts w:ascii="Calibri" w:eastAsia="Calibri" w:hAnsi="Calibri" w:cs="Calibri"/>
          <w:b/>
          <w:bCs/>
          <w:sz w:val="21"/>
          <w:szCs w:val="21"/>
        </w:rPr>
        <w:t>SEGUNDO LEILÃO</w:t>
      </w:r>
      <w:r>
        <w:rPr>
          <w:rFonts w:ascii="Calibri" w:eastAsia="Calibri" w:hAnsi="Calibri" w:cs="Calibri"/>
          <w:sz w:val="21"/>
          <w:szCs w:val="21"/>
        </w:rPr>
        <w:t xml:space="preserve">, com lance mínimo igual ou superior a </w:t>
      </w:r>
      <w:r w:rsidR="008B0AB0" w:rsidRPr="008B0AB0">
        <w:rPr>
          <w:rFonts w:ascii="Calibri" w:eastAsia="Calibri" w:hAnsi="Calibri" w:cs="Calibri"/>
          <w:b/>
          <w:bCs/>
          <w:sz w:val="21"/>
          <w:szCs w:val="21"/>
        </w:rPr>
        <w:t>R$ 276.124,46 (duzentos e setenta e seis mil, cento e vinte e quatro reais e quarenta e seis centavos)</w:t>
      </w:r>
      <w:r w:rsidR="008B0AB0">
        <w:rPr>
          <w:rFonts w:ascii="Calibri" w:eastAsia="Calibri" w:hAnsi="Calibri" w:cs="Calibri"/>
          <w:b/>
          <w:bCs/>
          <w:sz w:val="21"/>
          <w:szCs w:val="21"/>
        </w:rPr>
        <w:t>.</w:t>
      </w:r>
    </w:p>
    <w:p w14:paraId="00000007" w14:textId="77777777" w:rsidR="002D4237" w:rsidRDefault="00000000">
      <w:pPr>
        <w:spacing w:after="200" w:line="276" w:lineRule="auto"/>
        <w:jc w:val="both"/>
      </w:pPr>
      <w:r>
        <w:rPr>
          <w:rFonts w:ascii="Calibri" w:eastAsia="Calibri" w:hAnsi="Calibri" w:cs="Calibri"/>
          <w:sz w:val="21"/>
          <w:szCs w:val="21"/>
        </w:rPr>
        <w:t>O devedor fiduciante será comunicado na forma do parágrafo 2º-A do art. 27 da Lei 9.514/97, incluído pela Lei 13.465 de 11/07/2017, das datas, horários e locais da realização dos leilões fiduciários, mediante correspondência dirigida aos endereços constantes do contrato, inclusive ao endereço eletrônico, podendo o(s) fiduciante(s) adquirir sem concorrência de terceiros, o imóvel outrora entregue em garantia, exercendo o seu direito de preferência em 1º ou 2º leilão, pelo valor da dívida, acrescida dos encargos e despesas, conforme estabelecido no parágrafo 2º-B do mesmo artigo, ainda que outros interessados já tenham efetuado lances, para o respectivo lote do leilão.</w:t>
      </w:r>
    </w:p>
    <w:p w14:paraId="00000008" w14:textId="77777777" w:rsidR="002D4237" w:rsidRDefault="00000000">
      <w:pPr>
        <w:spacing w:after="200" w:line="276" w:lineRule="auto"/>
        <w:jc w:val="both"/>
      </w:pPr>
      <w:r>
        <w:rPr>
          <w:rFonts w:ascii="Calibri" w:eastAsia="Calibri" w:hAnsi="Calibri" w:cs="Calibri"/>
          <w:sz w:val="21"/>
          <w:szCs w:val="21"/>
        </w:rPr>
        <w:t xml:space="preserve">O envio de lances on-line se dará exclusivamente através do site www.leiloariasmart.com.br, respeitado o lance mínimo e o incremento mínimo estabelecido, em igualdade de condições com os participantes presentes no auditório do leilão de modo presencial, na disputa pelo lote do leilão, com exceção do devedor fiduciante, que poderá adquirir o imóvel preferencialmente em 1º e 2º leilão, caso não ocorra o arremate no primeiro, na forma do parágrafo 2º-B, do artigo 27 da Lei 9.514/97, incluído pela Lei 13.465 de 11/07/17, devendo apresentar manifestação formal do interesse no exercício da preferência, antes da </w:t>
      </w:r>
      <w:r>
        <w:rPr>
          <w:rFonts w:ascii="Calibri" w:eastAsia="Calibri" w:hAnsi="Calibri" w:cs="Calibri"/>
          <w:sz w:val="21"/>
          <w:szCs w:val="21"/>
        </w:rPr>
        <w:lastRenderedPageBreak/>
        <w:t>realização do 1º leilão, com firma reconhecida, juntamente com documentos de identificação, inclusive do representante legal, quando se tratar de pessoa jurídica.</w:t>
      </w:r>
    </w:p>
    <w:p w14:paraId="00000009" w14:textId="77777777" w:rsidR="002D4237" w:rsidRDefault="00000000">
      <w:pPr>
        <w:spacing w:after="200" w:line="276" w:lineRule="auto"/>
        <w:jc w:val="both"/>
      </w:pPr>
      <w:r>
        <w:rPr>
          <w:rFonts w:ascii="Calibri" w:eastAsia="Calibri" w:hAnsi="Calibri" w:cs="Calibri"/>
          <w:sz w:val="21"/>
          <w:szCs w:val="21"/>
        </w:rPr>
        <w:t>A venda será efetuada em caráter “ad corpus” e no estado de conservação em que se encontra.</w:t>
      </w:r>
    </w:p>
    <w:p w14:paraId="0000000A" w14:textId="77777777" w:rsidR="002D4237" w:rsidRDefault="00000000">
      <w:pPr>
        <w:spacing w:after="200" w:line="276" w:lineRule="auto"/>
        <w:jc w:val="both"/>
      </w:pPr>
      <w:r>
        <w:rPr>
          <w:rFonts w:ascii="Calibri" w:eastAsia="Calibri" w:hAnsi="Calibri" w:cs="Calibri"/>
          <w:sz w:val="21"/>
          <w:szCs w:val="21"/>
        </w:rPr>
        <w:t>O arrematante presente pagará no ato o preço total da arrematação e a comissão do leiloeiro, correspondente a 5% sobre o valor do arremate, inclusive o devedor fiduciante, no caso do exercício do direito de preferência, na forma da lei. Caso haja arrematante quer em primeiro ou segundo leilão a escritura de venda e compra será lavrada nos termos da Cláusula 3.11.</w:t>
      </w:r>
    </w:p>
    <w:p w14:paraId="0000000B" w14:textId="77777777" w:rsidR="002D4237" w:rsidRDefault="00000000">
      <w:pPr>
        <w:spacing w:after="200" w:line="276" w:lineRule="auto"/>
        <w:jc w:val="both"/>
      </w:pPr>
      <w:r>
        <w:rPr>
          <w:rFonts w:ascii="Calibri" w:eastAsia="Calibri" w:hAnsi="Calibri" w:cs="Calibri"/>
          <w:sz w:val="21"/>
          <w:szCs w:val="21"/>
        </w:rPr>
        <w:t xml:space="preserve">O valor referente a comissão do leiloeiro, correspondente a 5% (cinco por cento) do valor da arrematação e/ou do exercício do direito de preferência, deverá ser pago diretamente ao leiloeiro, mediante transferência bancária, </w:t>
      </w:r>
      <w:proofErr w:type="spellStart"/>
      <w:r>
        <w:rPr>
          <w:rFonts w:ascii="Calibri" w:eastAsia="Calibri" w:hAnsi="Calibri" w:cs="Calibri"/>
          <w:sz w:val="21"/>
          <w:szCs w:val="21"/>
        </w:rPr>
        <w:t>DOC's</w:t>
      </w:r>
      <w:proofErr w:type="spellEnd"/>
      <w:r>
        <w:rPr>
          <w:rFonts w:ascii="Calibri" w:eastAsia="Calibri" w:hAnsi="Calibri" w:cs="Calibri"/>
          <w:sz w:val="21"/>
          <w:szCs w:val="21"/>
        </w:rPr>
        <w:t xml:space="preserve"> ou </w:t>
      </w:r>
      <w:proofErr w:type="spellStart"/>
      <w:r>
        <w:rPr>
          <w:rFonts w:ascii="Calibri" w:eastAsia="Calibri" w:hAnsi="Calibri" w:cs="Calibri"/>
          <w:sz w:val="21"/>
          <w:szCs w:val="21"/>
        </w:rPr>
        <w:t>TED's</w:t>
      </w:r>
      <w:proofErr w:type="spellEnd"/>
      <w:r>
        <w:rPr>
          <w:rFonts w:ascii="Calibri" w:eastAsia="Calibri" w:hAnsi="Calibri" w:cs="Calibri"/>
          <w:sz w:val="21"/>
          <w:szCs w:val="21"/>
        </w:rPr>
        <w:t xml:space="preserve"> para a conta indicada por este.</w:t>
      </w:r>
    </w:p>
    <w:p w14:paraId="0000000C" w14:textId="77777777" w:rsidR="002D4237" w:rsidRDefault="00000000">
      <w:pPr>
        <w:spacing w:after="200" w:line="276" w:lineRule="auto"/>
        <w:jc w:val="both"/>
      </w:pPr>
      <w:r>
        <w:rPr>
          <w:rFonts w:ascii="Calibri" w:eastAsia="Calibri" w:hAnsi="Calibri" w:cs="Calibri"/>
          <w:sz w:val="21"/>
          <w:szCs w:val="21"/>
        </w:rPr>
        <w:t>O proponente vencedor por meio de lance on-line terá prazo de 24 horas depois de comunicado expressamente, para efetuar o pagamento da totalidade do preço e da comissão do leiloeiro, conforme edital. No caso do não cumprimento da obrigação assumida de pagamento da totalidade do preço e da comissão do leiloeiro, no prazo estabelecido, não será concretizada a transação de compra e venda e estará o proponente sujeito a sanções de ordem judicial, a título de perdas e danos e aplicação de multa no importe de 20% (vinte por cento).</w:t>
      </w:r>
    </w:p>
    <w:p w14:paraId="0000000D" w14:textId="77777777" w:rsidR="002D4237" w:rsidRDefault="00000000">
      <w:pPr>
        <w:spacing w:after="200" w:line="276" w:lineRule="auto"/>
        <w:jc w:val="both"/>
      </w:pPr>
      <w:r>
        <w:rPr>
          <w:rFonts w:ascii="Calibri" w:eastAsia="Calibri" w:hAnsi="Calibri" w:cs="Calibri"/>
          <w:sz w:val="21"/>
          <w:szCs w:val="21"/>
        </w:rPr>
        <w:t>Correrão por conta do arrematante, todas as despesas relativas à transferência do imóvel arrematado, tais como taxas, alvarás, certidões, ITBI - Imposto de Transmissão de Bens Imóveis, escritura, emolumentos cartorários, registros, etc.</w:t>
      </w:r>
    </w:p>
    <w:p w14:paraId="0000000E" w14:textId="77777777" w:rsidR="002D4237" w:rsidRDefault="00000000">
      <w:pPr>
        <w:spacing w:after="200" w:line="276" w:lineRule="auto"/>
        <w:jc w:val="both"/>
      </w:pPr>
      <w:r>
        <w:rPr>
          <w:rFonts w:ascii="Calibri" w:eastAsia="Calibri" w:hAnsi="Calibri" w:cs="Calibri"/>
          <w:sz w:val="21"/>
          <w:szCs w:val="21"/>
        </w:rPr>
        <w:t>Para casos de imóveis desocupados e vendas feitas através de financiamento (Leilão de BNDU), fica sob responsabilidade do comprador o pagamento dos débitos do imóvel, a partir do momento da arrematação e pagamento do sinal. Sendo que a entrega de chaves e transferência da posse ocorrerá somente após o devido registro na matrícula do imóvel.</w:t>
      </w:r>
    </w:p>
    <w:p w14:paraId="0000000F" w14:textId="77777777" w:rsidR="002D4237" w:rsidRDefault="00000000">
      <w:pPr>
        <w:spacing w:after="200" w:line="276" w:lineRule="auto"/>
        <w:jc w:val="both"/>
      </w:pPr>
      <w:r>
        <w:rPr>
          <w:rFonts w:ascii="Calibri" w:eastAsia="Calibri" w:hAnsi="Calibri" w:cs="Calibri"/>
          <w:sz w:val="21"/>
          <w:szCs w:val="21"/>
        </w:rPr>
        <w:t>As demais condições obedecerão ao que regula o Decreto nº 21.981 de 19 de outubro de 1.932, com as alterações introduzidas pelo Decreto nº 22.427 de 1º de fevereiro de 1.933, que regula a profissão de Leiloeiro Oficial.</w:t>
      </w:r>
    </w:p>
    <w:p w14:paraId="00000010" w14:textId="77777777" w:rsidR="002D4237" w:rsidRDefault="00000000">
      <w:pPr>
        <w:spacing w:before="300" w:after="160"/>
      </w:pPr>
      <w:r>
        <w:rPr>
          <w:rFonts w:ascii="Calibri" w:eastAsia="Calibri" w:hAnsi="Calibri" w:cs="Calibri"/>
          <w:b/>
          <w:bCs/>
          <w:sz w:val="23"/>
          <w:szCs w:val="23"/>
        </w:rPr>
        <w:t>Condições de participação, habilitação e leilão online</w:t>
      </w:r>
    </w:p>
    <w:p w14:paraId="00000011" w14:textId="77777777" w:rsidR="002D4237" w:rsidRDefault="00000000">
      <w:pPr>
        <w:spacing w:after="200" w:line="276" w:lineRule="auto"/>
        <w:jc w:val="both"/>
      </w:pPr>
      <w:r>
        <w:rPr>
          <w:rFonts w:ascii="Calibri" w:eastAsia="Calibri" w:hAnsi="Calibri" w:cs="Calibri"/>
          <w:sz w:val="21"/>
          <w:szCs w:val="21"/>
        </w:rPr>
        <w:t>Poderá o interessado participar do leilão online, habilitando-se previamente no site do leiloeiro (www.leiloariasmart.com.br), até as 10 horas do dia da realização do leilão público. O VENDEDOR não responderá pelo eventual não recebimento de proposta e/ou por qualquer falha de comunicação por referidos meios.</w:t>
      </w:r>
    </w:p>
    <w:p w14:paraId="00000012" w14:textId="77777777" w:rsidR="002D4237" w:rsidRDefault="00000000">
      <w:pPr>
        <w:spacing w:after="200" w:line="276" w:lineRule="auto"/>
        <w:jc w:val="both"/>
      </w:pPr>
      <w:r>
        <w:rPr>
          <w:rFonts w:ascii="Calibri" w:eastAsia="Calibri" w:hAnsi="Calibri" w:cs="Calibri"/>
          <w:sz w:val="21"/>
          <w:szCs w:val="21"/>
        </w:rPr>
        <w:t xml:space="preserve">Para participação online no leilão, os interessados deverão, após o prévio cadastro/habilitação no site do leiloeiro (www.leiloariasmart.com.br), enviar a documentação necessária e anuir às regras de participação dispostas no referido site para obtenção de “login” e “senha”, que validarão e homologarão os lances em conformidade com as disposições deste edital. O interessado que efetuar o cadastramento no site do leiloeiro deve possuir capacidade, legitimidade e estar devidamente autorizado para assumir todas as responsabilidades e obrigações constantes deste edital. O acesso identificado e fornecido sob exclusiva responsabilidade do leiloeiro submete o interessado integralmente às Condições de Venda e Pagamento dispostas neste edital. O leilão será transmitido pela internet na página do leiloeiro acima mencionada. Os lances feitos de forma eletrônica no ato do pregão serão apresentados no telão junto com os lances obtidos </w:t>
      </w:r>
      <w:r>
        <w:rPr>
          <w:rFonts w:ascii="Calibri" w:eastAsia="Calibri" w:hAnsi="Calibri" w:cs="Calibri"/>
          <w:sz w:val="21"/>
          <w:szCs w:val="21"/>
        </w:rPr>
        <w:lastRenderedPageBreak/>
        <w:t>no auditório (caso o leilão seja presencial e online) e não garantem direitos ao proponente em caso de recusa do leiloeiro ou por qualquer outra ocorrência, tal como queda ou falhas no sistema, conexão de internet ou linha telefônica, cujos riscos de conexão, impossibilidade técnica, imprevisões e intempéries são assumidos inteiramente pelos interessados, não sendo cabível qualquer reclamação ao VENDEDOR ou ao leiloeiro.</w:t>
      </w:r>
    </w:p>
    <w:p w14:paraId="00000013" w14:textId="77777777" w:rsidR="002D4237" w:rsidRDefault="00000000">
      <w:pPr>
        <w:spacing w:after="200" w:line="276" w:lineRule="auto"/>
        <w:jc w:val="both"/>
      </w:pPr>
      <w:r>
        <w:rPr>
          <w:rFonts w:ascii="Calibri" w:eastAsia="Calibri" w:hAnsi="Calibri" w:cs="Calibri"/>
          <w:sz w:val="21"/>
          <w:szCs w:val="21"/>
        </w:rPr>
        <w:t>O VENDEDOR está obrigado a observar todos os procedimentos determinados pela legislação vigente, especialmente as regulamentações emanadas pelo BACEN (Banco Central do Brasil) e pela UIF (Unidade de Inteligência Financeira – antigo COAF), com o objetivo de prevenir e combater os crimes de “lavagem” ou ocultação de bens, direitos e valores, conforme estabelecido na Lei nº 9.613, de 03 de março de 1998, regulamentada pelo Decreto nº 2.799, de 08 de outubro de 1998. Desta forma, o COMPRADOR, pessoa física ou jurídica, deverá obrigatoriamente preencher e assinar, no ato da arrematação do imóvel, ficha cadastral, obrigando-se ainda a informar ao VENDEDOR, imediatamente, caso haja qualquer alteração nos dados cadastrais fornecidos.</w:t>
      </w:r>
    </w:p>
    <w:p w14:paraId="00000014" w14:textId="77777777" w:rsidR="002D4237" w:rsidRDefault="00000000">
      <w:pPr>
        <w:spacing w:after="200" w:line="276" w:lineRule="auto"/>
        <w:jc w:val="both"/>
      </w:pPr>
      <w:r>
        <w:rPr>
          <w:rFonts w:ascii="Calibri" w:eastAsia="Calibri" w:hAnsi="Calibri" w:cs="Calibri"/>
          <w:sz w:val="21"/>
          <w:szCs w:val="21"/>
        </w:rPr>
        <w:t>Menores de 18 (dezoito) anos só poderão adquirir o imóvel se emancipados ou assistidos/representados por seu representante legal, assim como os demais incapazes para os atos da vida civil.</w:t>
      </w:r>
    </w:p>
    <w:p w14:paraId="00000015" w14:textId="77777777" w:rsidR="002D4237" w:rsidRDefault="00000000">
      <w:pPr>
        <w:spacing w:after="200" w:line="276" w:lineRule="auto"/>
        <w:jc w:val="both"/>
      </w:pPr>
      <w:r>
        <w:rPr>
          <w:rFonts w:ascii="Calibri" w:eastAsia="Calibri" w:hAnsi="Calibri" w:cs="Calibri"/>
          <w:sz w:val="21"/>
          <w:szCs w:val="21"/>
        </w:rPr>
        <w:t>Em qualquer hipótese, a representação por terceiros deverá ser feita mediante a apresentação de original ou cópia autenticada de procuração por instrumento público, em caráter irrevogável e irretratável, com poderes para aquisição do imóvel e preenchimento de ficha cadastral adicional.</w:t>
      </w:r>
    </w:p>
    <w:p w14:paraId="00000016" w14:textId="77777777" w:rsidR="002D4237" w:rsidRDefault="00000000">
      <w:pPr>
        <w:spacing w:after="200" w:line="276" w:lineRule="auto"/>
        <w:jc w:val="both"/>
      </w:pPr>
      <w:r>
        <w:rPr>
          <w:rFonts w:ascii="Calibri" w:eastAsia="Calibri" w:hAnsi="Calibri" w:cs="Calibri"/>
          <w:sz w:val="21"/>
          <w:szCs w:val="21"/>
        </w:rPr>
        <w:t>Outros documentos poderão ser solicitados pelo VENDEDOR para fins de análise cadastral e concretização da transação.</w:t>
      </w:r>
    </w:p>
    <w:p w14:paraId="00000017" w14:textId="77777777" w:rsidR="002D4237" w:rsidRDefault="00000000">
      <w:pPr>
        <w:spacing w:after="200" w:line="276" w:lineRule="auto"/>
        <w:jc w:val="both"/>
      </w:pPr>
      <w:r>
        <w:rPr>
          <w:rFonts w:ascii="Calibri" w:eastAsia="Calibri" w:hAnsi="Calibri" w:cs="Calibri"/>
          <w:sz w:val="21"/>
          <w:szCs w:val="21"/>
        </w:rPr>
        <w:t>Não serão efetuadas vendas para empresas individuais nos termos do decidido no Conselho Superior da Magistratura (APELAÇÃO CÍVEL 0006384-83.2015.8.26.0153 Registro: 2017.0000569908).</w:t>
      </w:r>
    </w:p>
    <w:p w14:paraId="00000018" w14:textId="77777777" w:rsidR="002D4237" w:rsidRDefault="00000000">
      <w:pPr>
        <w:spacing w:after="200" w:line="276" w:lineRule="auto"/>
        <w:jc w:val="both"/>
      </w:pPr>
      <w:r>
        <w:rPr>
          <w:rFonts w:ascii="Calibri" w:eastAsia="Calibri" w:hAnsi="Calibri" w:cs="Calibri"/>
          <w:sz w:val="21"/>
          <w:szCs w:val="21"/>
        </w:rPr>
        <w:t>O COMPRADOR não poderá desistir da compra do imóvel. O COMPRADOR ficará sujeito à cobrança de multa de 20% (vinte por cento) sobre o valor da proposta, a título de perdas e danos se não efetuado o pagamento em 24 horas. Nesse caso, o negócio estará terminado de pleno direito, independentemente de qualquer notificação ou comunicação, e o COMPRADOR perderá, automaticamente, qualquer direito sobre o imóvel arrematado.</w:t>
      </w:r>
    </w:p>
    <w:p w14:paraId="00000019" w14:textId="77777777" w:rsidR="002D4237" w:rsidRDefault="00000000">
      <w:pPr>
        <w:spacing w:after="200" w:line="276" w:lineRule="auto"/>
        <w:jc w:val="both"/>
      </w:pPr>
      <w:r>
        <w:rPr>
          <w:rFonts w:ascii="Calibri" w:eastAsia="Calibri" w:hAnsi="Calibri" w:cs="Calibri"/>
          <w:sz w:val="21"/>
          <w:szCs w:val="21"/>
        </w:rPr>
        <w:t>Ao concorrer para a aquisição do imóvel por meio do presente leilão, ficará caracterizada a aceitação pelo COMPRADOR da referida minuta e de todas as condições estipuladas neste edital. As demais condições obedecerão ao que regula o Decreto Federal nº 21.981 de 19 de outubro de 1932, que regula a profissão de Leiloeiro Oficial, ou outro que o substitua.</w:t>
      </w:r>
    </w:p>
    <w:p w14:paraId="0000001A" w14:textId="77777777" w:rsidR="002D4237" w:rsidRDefault="00000000">
      <w:pPr>
        <w:spacing w:before="300" w:after="160"/>
      </w:pPr>
      <w:r>
        <w:rPr>
          <w:rFonts w:ascii="Calibri" w:eastAsia="Calibri" w:hAnsi="Calibri" w:cs="Calibri"/>
          <w:b/>
          <w:bCs/>
          <w:sz w:val="23"/>
          <w:szCs w:val="23"/>
        </w:rPr>
        <w:t>Formalização da venda</w:t>
      </w:r>
    </w:p>
    <w:p w14:paraId="0000001B" w14:textId="77777777" w:rsidR="002D4237" w:rsidRDefault="00000000">
      <w:pPr>
        <w:spacing w:after="200" w:line="276" w:lineRule="auto"/>
        <w:jc w:val="both"/>
      </w:pPr>
      <w:r>
        <w:rPr>
          <w:rFonts w:ascii="Calibri" w:eastAsia="Calibri" w:hAnsi="Calibri" w:cs="Calibri"/>
          <w:sz w:val="21"/>
          <w:szCs w:val="21"/>
        </w:rPr>
        <w:t xml:space="preserve">No ato da arrematação, o COMPRADOR pagará ao VENDEDOR, à vista ou em PIX, a importância equivalente ao valor da venda e compra, mais 5% (cinco por cento) de comissão ao leiloeiro, em cheques separados, depósitos, </w:t>
      </w:r>
      <w:proofErr w:type="spellStart"/>
      <w:r>
        <w:rPr>
          <w:rFonts w:ascii="Calibri" w:eastAsia="Calibri" w:hAnsi="Calibri" w:cs="Calibri"/>
          <w:sz w:val="21"/>
          <w:szCs w:val="21"/>
        </w:rPr>
        <w:t>DOC's</w:t>
      </w:r>
      <w:proofErr w:type="spellEnd"/>
      <w:r>
        <w:rPr>
          <w:rFonts w:ascii="Calibri" w:eastAsia="Calibri" w:hAnsi="Calibri" w:cs="Calibri"/>
          <w:sz w:val="21"/>
          <w:szCs w:val="21"/>
        </w:rPr>
        <w:t xml:space="preserve"> e </w:t>
      </w:r>
      <w:proofErr w:type="spellStart"/>
      <w:r>
        <w:rPr>
          <w:rFonts w:ascii="Calibri" w:eastAsia="Calibri" w:hAnsi="Calibri" w:cs="Calibri"/>
          <w:sz w:val="21"/>
          <w:szCs w:val="21"/>
        </w:rPr>
        <w:t>TED's</w:t>
      </w:r>
      <w:proofErr w:type="spellEnd"/>
      <w:r>
        <w:rPr>
          <w:rFonts w:ascii="Calibri" w:eastAsia="Calibri" w:hAnsi="Calibri" w:cs="Calibri"/>
          <w:sz w:val="21"/>
          <w:szCs w:val="21"/>
        </w:rPr>
        <w:t xml:space="preserve"> em conta corrente indicadas pelo VENDEDOR e pelo LEILOEIRO.</w:t>
      </w:r>
    </w:p>
    <w:p w14:paraId="0000001C" w14:textId="77777777" w:rsidR="002D4237" w:rsidRDefault="00000000">
      <w:pPr>
        <w:spacing w:after="200" w:line="276" w:lineRule="auto"/>
        <w:jc w:val="both"/>
      </w:pPr>
      <w:r>
        <w:rPr>
          <w:rFonts w:ascii="Calibri" w:eastAsia="Calibri" w:hAnsi="Calibri" w:cs="Calibri"/>
          <w:sz w:val="21"/>
          <w:szCs w:val="21"/>
        </w:rPr>
        <w:t>Não é permitida a utilização do FGTS, nem de cartas de crédito para adquirir imóveis no leilão.</w:t>
      </w:r>
    </w:p>
    <w:p w14:paraId="0000001D" w14:textId="77777777" w:rsidR="002D4237" w:rsidRDefault="00000000">
      <w:pPr>
        <w:spacing w:before="300" w:after="160"/>
      </w:pPr>
      <w:r>
        <w:rPr>
          <w:rFonts w:ascii="Calibri" w:eastAsia="Calibri" w:hAnsi="Calibri" w:cs="Calibri"/>
          <w:b/>
          <w:bCs/>
          <w:sz w:val="23"/>
          <w:szCs w:val="23"/>
        </w:rPr>
        <w:t>Disposições gerais sobre a aquisição do imóvel</w:t>
      </w:r>
    </w:p>
    <w:p w14:paraId="0000001E" w14:textId="77777777" w:rsidR="002D4237" w:rsidRDefault="00000000">
      <w:pPr>
        <w:spacing w:after="200" w:line="276" w:lineRule="auto"/>
        <w:jc w:val="both"/>
      </w:pPr>
      <w:r>
        <w:rPr>
          <w:rFonts w:ascii="Calibri" w:eastAsia="Calibri" w:hAnsi="Calibri" w:cs="Calibri"/>
          <w:sz w:val="21"/>
          <w:szCs w:val="21"/>
        </w:rPr>
        <w:t xml:space="preserve">A venda é feita em caráter “ad corpus”, sendo que as áreas mencionadas nos editais, catálogos e outros veículos de comunicação são meramente enunciativas e as fotos do imóvel divulgadas são apenas </w:t>
      </w:r>
      <w:r>
        <w:rPr>
          <w:rFonts w:ascii="Calibri" w:eastAsia="Calibri" w:hAnsi="Calibri" w:cs="Calibri"/>
          <w:sz w:val="21"/>
          <w:szCs w:val="21"/>
        </w:rPr>
        <w:lastRenderedPageBreak/>
        <w:t>ilustrativas. Dessa forma, havendo divergência de metragem ou de área, o COMPRADOR não terá direito a exigir do VENDEDOR nenhum complemento de metragem ou de área, o término da venda ou o abatimento do preço do imóvel.</w:t>
      </w:r>
    </w:p>
    <w:p w14:paraId="0000001F" w14:textId="77777777" w:rsidR="002D4237" w:rsidRDefault="00000000">
      <w:pPr>
        <w:spacing w:after="200" w:line="276" w:lineRule="auto"/>
        <w:jc w:val="both"/>
      </w:pPr>
      <w:r>
        <w:rPr>
          <w:rFonts w:ascii="Calibri" w:eastAsia="Calibri" w:hAnsi="Calibri" w:cs="Calibri"/>
          <w:sz w:val="21"/>
          <w:szCs w:val="21"/>
        </w:rPr>
        <w:t>O imóvel será vendido no estado em que se encontra física e documentalmente, não podendo o COMPRADOR alegar desconhecimento de suas condições, eventuais irregularidades, características, compartimentos internos, estado de conservação e localização. As condições de cada imóvel estão descritas nos catálogos e deverão ser prévia e rigorosamente analisadas pelos interessados.</w:t>
      </w:r>
    </w:p>
    <w:p w14:paraId="00000020" w14:textId="77777777" w:rsidR="002D4237" w:rsidRDefault="00000000">
      <w:pPr>
        <w:spacing w:before="300" w:after="160"/>
      </w:pPr>
      <w:r>
        <w:rPr>
          <w:rFonts w:ascii="Calibri" w:eastAsia="Calibri" w:hAnsi="Calibri" w:cs="Calibri"/>
          <w:b/>
          <w:bCs/>
          <w:sz w:val="23"/>
          <w:szCs w:val="23"/>
        </w:rPr>
        <w:t>Responsabilidades do COMPRADOR</w:t>
      </w:r>
    </w:p>
    <w:p w14:paraId="00000021" w14:textId="77777777" w:rsidR="002D4237" w:rsidRDefault="00000000">
      <w:pPr>
        <w:spacing w:after="100" w:line="276" w:lineRule="auto"/>
        <w:jc w:val="both"/>
      </w:pPr>
      <w:r>
        <w:rPr>
          <w:rFonts w:ascii="Calibri" w:eastAsia="Calibri" w:hAnsi="Calibri" w:cs="Calibri"/>
          <w:sz w:val="21"/>
          <w:szCs w:val="21"/>
        </w:rPr>
        <w:t>O COMPRADOR é responsável:</w:t>
      </w:r>
    </w:p>
    <w:p w14:paraId="00000022"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pelo levantamento de eventual restrição imposta por zoneamento/uso do solo, legislação ambiental, IBAMA, INCRA;</w:t>
      </w:r>
    </w:p>
    <w:p w14:paraId="00000023"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pela verificação de direitos e deveres constantes das especificações/convenções de condomínio, quando houver;</w:t>
      </w:r>
    </w:p>
    <w:p w14:paraId="00000024"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por débitos relativos ao INSS do imóvel com construção em andamento, concluídos, reformados ou demolidos, não averbados no registro de imóveis competente, assumindo a regularização de tais débitos perante a construtora e/ou órgãos públicos, inclusive cartórios de registro de imóveis;</w:t>
      </w:r>
    </w:p>
    <w:p w14:paraId="00000025"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quando o imóvel for vendido na condição de “fração ideal que corresponderá a unidade condominial” (construção não averbada), por eventual exigência do registro de imóveis competente para registro do instrumento a ser outorgado e pela averbação da construção;</w:t>
      </w:r>
    </w:p>
    <w:p w14:paraId="00000026"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por todas as providências e custos necessários para regularização da denominação de logradouro e numeração predial do imóvel junto aos órgãos competentes, se for o caso;</w:t>
      </w:r>
    </w:p>
    <w:p w14:paraId="00000027"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pelo cancelamento dos eventuais ônus do imóvel (abrangendo hipotecas, penhoras, entre outros), se for o caso, inclusive acionando o juízo competente para tal finalidade, se necessário. O interessado deverá certificar-se previamente de todas as providências e respectivos custos para esse(s) cancelamento(s), bem como dos riscos relacionados a tais procedimentos;</w:t>
      </w:r>
    </w:p>
    <w:p w14:paraId="00000028"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pelo levantamento de eventuais ações ajuizadas contra o condomínio, para imóveis integrantes de condomínios edilícios;</w:t>
      </w:r>
    </w:p>
    <w:p w14:paraId="00000029" w14:textId="77777777" w:rsidR="002D4237" w:rsidRDefault="00000000">
      <w:pPr>
        <w:numPr>
          <w:ilvl w:val="0"/>
          <w:numId w:val="1"/>
        </w:numPr>
        <w:pBdr>
          <w:top w:val="nil"/>
          <w:left w:val="nil"/>
          <w:bottom w:val="nil"/>
          <w:right w:val="nil"/>
          <w:between w:val="nil"/>
        </w:pBdr>
        <w:spacing w:after="120" w:line="276" w:lineRule="auto"/>
        <w:jc w:val="both"/>
      </w:pPr>
      <w:r>
        <w:rPr>
          <w:rFonts w:ascii="Calibri" w:eastAsia="Calibri" w:hAnsi="Calibri" w:cs="Calibri"/>
          <w:sz w:val="21"/>
          <w:szCs w:val="21"/>
        </w:rPr>
        <w:t>por todas as providências e despesas relativas à desocupação dos imóveis ocupados a qualquer título, sejam eles locados, arrendados, dados em comodato ou invadidos.</w:t>
      </w:r>
    </w:p>
    <w:p w14:paraId="0000002A" w14:textId="77777777" w:rsidR="002D4237" w:rsidRDefault="00000000">
      <w:pPr>
        <w:spacing w:after="200" w:line="276" w:lineRule="auto"/>
        <w:jc w:val="both"/>
      </w:pPr>
      <w:r>
        <w:rPr>
          <w:rFonts w:ascii="Calibri" w:eastAsia="Calibri" w:hAnsi="Calibri" w:cs="Calibri"/>
          <w:sz w:val="21"/>
          <w:szCs w:val="21"/>
        </w:rPr>
        <w:t>Cabe ao COMPRADOR obter as informações atinentes, bem como adotar a suas expensas as medidas necessárias à expedição de alvarás, licenças, atestados e demais documentos nos órgãos competentes ou autoridades competentes, se necessário for.</w:t>
      </w:r>
    </w:p>
    <w:p w14:paraId="0000002B" w14:textId="77777777" w:rsidR="002D4237" w:rsidRDefault="00000000">
      <w:pPr>
        <w:spacing w:after="200" w:line="276" w:lineRule="auto"/>
        <w:jc w:val="both"/>
      </w:pPr>
      <w:r>
        <w:rPr>
          <w:rFonts w:ascii="Calibri" w:eastAsia="Calibri" w:hAnsi="Calibri" w:cs="Calibri"/>
          <w:sz w:val="21"/>
          <w:szCs w:val="21"/>
        </w:rPr>
        <w:t>O VENDEDOR não responde por eventual contaminação do solo ou subsolo ou por passivos de caráter ambiental, que, se existirem, deverão ser assumidos pelo COMPRADOR. O COMPRADOR deverá manter o VENDEDOR indene, caso esse seja responsabilizado administrativa, civil ou penalmente em razão de passivos ambientais do imóvel.</w:t>
      </w:r>
    </w:p>
    <w:p w14:paraId="0000002C" w14:textId="77777777" w:rsidR="002D4237" w:rsidRDefault="00000000">
      <w:pPr>
        <w:spacing w:after="200" w:line="276" w:lineRule="auto"/>
        <w:jc w:val="both"/>
      </w:pPr>
      <w:r>
        <w:rPr>
          <w:rFonts w:ascii="Calibri" w:eastAsia="Calibri" w:hAnsi="Calibri" w:cs="Calibri"/>
          <w:sz w:val="21"/>
          <w:szCs w:val="21"/>
        </w:rPr>
        <w:t>Os débitos expressamente apontados na descrição do imóvel, como débitos de tributos imobiliários (IPTU) e despesas de natureza condominial anteriores à data do leilão, serão integralmente assumidos pelo VENDEDOR, que deverá quitá-los até a data da assinatura da Escritura Pública de Venda e Compra.</w:t>
      </w:r>
    </w:p>
    <w:p w14:paraId="0000002D" w14:textId="77777777" w:rsidR="002D4237" w:rsidRDefault="00000000">
      <w:pPr>
        <w:spacing w:after="200" w:line="276" w:lineRule="auto"/>
        <w:jc w:val="both"/>
      </w:pPr>
      <w:r>
        <w:rPr>
          <w:rFonts w:ascii="Calibri" w:eastAsia="Calibri" w:hAnsi="Calibri" w:cs="Calibri"/>
          <w:sz w:val="21"/>
          <w:szCs w:val="21"/>
        </w:rPr>
        <w:lastRenderedPageBreak/>
        <w:t>O COMPRADOR se sub-rogará nas ações em curso, se for o caso, e todos os custos envolvidos, bem como os relativos à eventual necessidade de propositura de nova ação correrão por conta do COMPRADOR.</w:t>
      </w:r>
    </w:p>
    <w:p w14:paraId="0000002E" w14:textId="77777777" w:rsidR="002D4237" w:rsidRDefault="00000000">
      <w:pPr>
        <w:spacing w:after="200" w:line="276" w:lineRule="auto"/>
        <w:jc w:val="both"/>
      </w:pPr>
      <w:r>
        <w:rPr>
          <w:rFonts w:ascii="Calibri" w:eastAsia="Calibri" w:hAnsi="Calibri" w:cs="Calibri"/>
          <w:sz w:val="21"/>
          <w:szCs w:val="21"/>
        </w:rPr>
        <w:t>Nas ações judiciais relativas ao imóvel em que o VENDEDOR figura como réu, o COMPRADOR poderá integrar a lide como terceiro interessado.</w:t>
      </w:r>
    </w:p>
    <w:p w14:paraId="0000002F" w14:textId="77777777" w:rsidR="002D4237" w:rsidRDefault="00000000">
      <w:pPr>
        <w:spacing w:after="200" w:line="276" w:lineRule="auto"/>
        <w:jc w:val="both"/>
      </w:pPr>
      <w:r>
        <w:rPr>
          <w:rFonts w:ascii="Calibri" w:eastAsia="Calibri" w:hAnsi="Calibri" w:cs="Calibri"/>
          <w:sz w:val="21"/>
          <w:szCs w:val="21"/>
        </w:rPr>
        <w:t>O COMPRADOR é responsável pelo pagamento de todos os impostos, taxas, despesas de condomínio e outras, de qualquer natureza, que incidam sobre o imóvel desde a data da arrematação, passando a responder integralmente por todas as obrigações relativas ao imóvel, inclusive: (a) por impostos, taxas, contribuição e encargos que incidam ou venham a incidir sobre o imóvel ou que sejam a ele inerentes, tais como despesas de condomínio, foros, laudêmios, exigências apresentadas por autoridades públicas e despesas em geral; (b) pela manutenção e conservação do imóvel e reparações, segurança do imóvel e medidas necessárias à imissão ou defesa da posse; e (c) por construções, reformas e demolições que venha a realizar no imóvel e obtenção das respectivas aprovações/regularizações necessárias. O COMPRADOR deverá pagar tais obrigações em seus vencimentos, ainda que lançadas em nome do VENDEDOR ou de seus antecessores.</w:t>
      </w:r>
    </w:p>
    <w:p w14:paraId="00000030" w14:textId="77777777" w:rsidR="002D4237" w:rsidRDefault="00000000">
      <w:pPr>
        <w:spacing w:after="200" w:line="276" w:lineRule="auto"/>
        <w:jc w:val="both"/>
      </w:pPr>
      <w:r>
        <w:rPr>
          <w:rFonts w:ascii="Calibri" w:eastAsia="Calibri" w:hAnsi="Calibri" w:cs="Calibri"/>
          <w:sz w:val="21"/>
          <w:szCs w:val="21"/>
        </w:rPr>
        <w:t>Caso o VENDEDOR incorra em despesas que sejam de responsabilidade do COMPRADOR, este deverá, em até 15 (quinze) dias contados do recebimento de solicitação escrita pelo VENDEDOR, ressarcir o valor despendido, atualizado monetariamente de acordo com a variação do IGPM-FGV, acumulada desde a data do desembolso pelo VENDEDOR até a do efetivo ressarcimento pelo COMPRADOR, acrescido de multa moratória de 10% (dez por cento) e de juros de 12% (doze por cento) ao ano.</w:t>
      </w:r>
    </w:p>
    <w:p w14:paraId="00000031" w14:textId="77777777" w:rsidR="002D4237" w:rsidRDefault="00000000">
      <w:pPr>
        <w:spacing w:after="200" w:line="276" w:lineRule="auto"/>
        <w:jc w:val="both"/>
      </w:pPr>
      <w:r>
        <w:rPr>
          <w:rFonts w:ascii="Calibri" w:eastAsia="Calibri" w:hAnsi="Calibri" w:cs="Calibri"/>
          <w:sz w:val="21"/>
          <w:szCs w:val="21"/>
        </w:rPr>
        <w:t>É de responsabilidade do COMPRADOR adotar todas as providências, judiciais ou não, para a imissão na posse direta do imóvel. Ao passo que a posse indireta será transmitida ao COMPRADOR logo após o pagamento da venda e compra.</w:t>
      </w:r>
    </w:p>
    <w:p w14:paraId="00000032" w14:textId="77777777" w:rsidR="002D4237" w:rsidRDefault="00000000">
      <w:pPr>
        <w:spacing w:after="200" w:line="276" w:lineRule="auto"/>
        <w:jc w:val="both"/>
      </w:pPr>
      <w:r>
        <w:rPr>
          <w:rFonts w:ascii="Calibri" w:eastAsia="Calibri" w:hAnsi="Calibri" w:cs="Calibri"/>
          <w:sz w:val="21"/>
          <w:szCs w:val="21"/>
        </w:rPr>
        <w:t>O COMPRADOR se obriga a lavrar e registrar a Escritura Pública, bem como a providenciar a transferência de titularidade do IMÓVEL nos órgãos públicos e instituições privadas, nos prazos referidos no item 3.12, sob pena de ser configurado o seu inadimplemento e responder por eventuais perdas e danos causados à CREDORA FIDUCIÁRIA.</w:t>
      </w:r>
    </w:p>
    <w:p w14:paraId="00000033" w14:textId="77777777" w:rsidR="002D4237" w:rsidRDefault="00000000">
      <w:pPr>
        <w:spacing w:before="300" w:after="160"/>
      </w:pPr>
      <w:r>
        <w:rPr>
          <w:rFonts w:ascii="Calibri" w:eastAsia="Calibri" w:hAnsi="Calibri" w:cs="Calibri"/>
          <w:b/>
          <w:bCs/>
          <w:sz w:val="23"/>
          <w:szCs w:val="23"/>
        </w:rPr>
        <w:t>Formalização da venda</w:t>
      </w:r>
    </w:p>
    <w:p w14:paraId="00000034" w14:textId="77777777" w:rsidR="002D4237" w:rsidRDefault="00000000">
      <w:pPr>
        <w:spacing w:after="200" w:line="276" w:lineRule="auto"/>
        <w:jc w:val="both"/>
      </w:pPr>
      <w:r>
        <w:rPr>
          <w:rFonts w:ascii="Calibri" w:eastAsia="Calibri" w:hAnsi="Calibri" w:cs="Calibri"/>
          <w:sz w:val="21"/>
          <w:szCs w:val="21"/>
        </w:rPr>
        <w:t>Será celebrada pelo VENDEDOR e COMPRADOR Escritura Pública de Venda e Compra, no prazo máximo de 90 (noventa) dias contados da data da realização do Leilão, sendo que o Tabelião de Notas será definido pelo VENDEDOR.</w:t>
      </w:r>
    </w:p>
    <w:p w14:paraId="00000035" w14:textId="77777777" w:rsidR="002D4237" w:rsidRDefault="00000000">
      <w:pPr>
        <w:spacing w:after="200" w:line="276" w:lineRule="auto"/>
        <w:jc w:val="both"/>
      </w:pPr>
      <w:r>
        <w:rPr>
          <w:rFonts w:ascii="Calibri" w:eastAsia="Calibri" w:hAnsi="Calibri" w:cs="Calibri"/>
          <w:sz w:val="21"/>
          <w:szCs w:val="21"/>
        </w:rPr>
        <w:t>O prazo referido no item 3.12 poderá ser prorrogado caso haja pendências documentais do VENDEDOR (por exemplo, a ausência provisória da Certidão Negativa do INSS ou Certidão de Quitação de Tributos Federais), até a regularização destas. Vencida a documentação disponibilizada para outorga da Escritura Pública ou para o respectivo registro, por culpa do COMPRADOR, ficará sob a sua responsabilidade a obtenção de novos documentos.</w:t>
      </w:r>
    </w:p>
    <w:p w14:paraId="00000036" w14:textId="77777777" w:rsidR="002D4237" w:rsidRDefault="00000000">
      <w:pPr>
        <w:spacing w:after="200" w:line="276" w:lineRule="auto"/>
        <w:jc w:val="both"/>
      </w:pPr>
      <w:r>
        <w:rPr>
          <w:rFonts w:ascii="Calibri" w:eastAsia="Calibri" w:hAnsi="Calibri" w:cs="Calibri"/>
          <w:sz w:val="21"/>
          <w:szCs w:val="21"/>
        </w:rPr>
        <w:t>Serão de responsabilidade do COMPRADOR todas as providências e despesas necessárias à transferência do imóvel junto aos órgãos públicos, incluindo, sem se limitar, o imposto de transmissão de bens imóveis (ITBI), laudêmio, taxas, alvarás, certidões, escrituras, emolumentos cartorários, registros e averbações de qualquer natureza, bem como todos os encargos para liberação dos imóveis com eventuais pendências ou ônus, desde que apontados na descrição do lote específico.</w:t>
      </w:r>
    </w:p>
    <w:p w14:paraId="00000037" w14:textId="77777777" w:rsidR="002D4237" w:rsidRDefault="00000000">
      <w:pPr>
        <w:spacing w:after="200" w:line="276" w:lineRule="auto"/>
        <w:jc w:val="both"/>
      </w:pPr>
      <w:r>
        <w:rPr>
          <w:rFonts w:ascii="Calibri" w:eastAsia="Calibri" w:hAnsi="Calibri" w:cs="Calibri"/>
          <w:sz w:val="21"/>
          <w:szCs w:val="21"/>
        </w:rPr>
        <w:lastRenderedPageBreak/>
        <w:t>Outorgada a Escritura Pública de Venda e Compra, o COMPRADOR deverá apresentar ao VENDEDOR, no prazo de até 30 (trinta) dias a contar da data da assinatura, o instrumento devidamente registrado no Cartório de Registro de Imóveis, ressalvadas as hipóteses de prorrogações autorizadas ou quando houver pendências documentais do VENDEDOR, bem como efetivar a substituição do contribuinte na Prefeitura Municipal e do responsável pelo imóvel junto à administração do correspondente condomínio.</w:t>
      </w:r>
    </w:p>
    <w:p w14:paraId="00000038" w14:textId="77777777" w:rsidR="002D4237" w:rsidRDefault="00000000">
      <w:pPr>
        <w:spacing w:before="300" w:after="160"/>
      </w:pPr>
      <w:r>
        <w:rPr>
          <w:rFonts w:ascii="Calibri" w:eastAsia="Calibri" w:hAnsi="Calibri" w:cs="Calibri"/>
          <w:b/>
          <w:bCs/>
          <w:sz w:val="23"/>
          <w:szCs w:val="23"/>
        </w:rPr>
        <w:t>Evicção de direito</w:t>
      </w:r>
    </w:p>
    <w:p w14:paraId="00000039" w14:textId="77777777" w:rsidR="002D4237" w:rsidRDefault="00000000">
      <w:pPr>
        <w:spacing w:after="200" w:line="276" w:lineRule="auto"/>
        <w:jc w:val="both"/>
      </w:pPr>
      <w:r>
        <w:rPr>
          <w:rFonts w:ascii="Calibri" w:eastAsia="Calibri" w:hAnsi="Calibri" w:cs="Calibri"/>
          <w:sz w:val="21"/>
          <w:szCs w:val="21"/>
        </w:rPr>
        <w:t>Sobrevindo decisão judicial transitada em julgado que decretar a anulação do título aquisitivo do VENDEDOR, este responderá pela evicção de direito, com exceção dos imóveis em cuja descrição, constante do site do leiloeiro ou de material de divulgação, haja referência a restrição judicial ou outra especificação, hipótese em que o COMPRADOR automaticamente assumirá tais riscos nos termos da lei. A responsabilidade do VENDEDOR pela evicção ficará limitada à devolução, quando aplicável, do valor pago pela aquisição do imóvel.</w:t>
      </w:r>
    </w:p>
    <w:p w14:paraId="0000003A" w14:textId="77777777" w:rsidR="002D4237" w:rsidRDefault="00000000">
      <w:pPr>
        <w:spacing w:after="200" w:line="276" w:lineRule="auto"/>
        <w:jc w:val="both"/>
      </w:pPr>
      <w:r>
        <w:rPr>
          <w:rFonts w:ascii="Calibri" w:eastAsia="Calibri" w:hAnsi="Calibri" w:cs="Calibri"/>
          <w:sz w:val="21"/>
          <w:szCs w:val="21"/>
        </w:rPr>
        <w:t>Os valores serão atualizados entre o dia do pagamento e o da restituição, mediante aplicação de percentual igual ao utilizado para atualização dos saldos dos depósitos em Caderneta de Poupança Livre (pessoa física).</w:t>
      </w:r>
    </w:p>
    <w:p w14:paraId="0000003B" w14:textId="77777777" w:rsidR="002D4237" w:rsidRDefault="00000000">
      <w:pPr>
        <w:spacing w:after="200" w:line="276" w:lineRule="auto"/>
        <w:jc w:val="both"/>
      </w:pPr>
      <w:r>
        <w:rPr>
          <w:rFonts w:ascii="Calibri" w:eastAsia="Calibri" w:hAnsi="Calibri" w:cs="Calibri"/>
          <w:sz w:val="21"/>
          <w:szCs w:val="21"/>
        </w:rPr>
        <w:t>Não é conferido ao COMPRADOR o direito de pleitear quaisquer outros valores indenizatórios e tampouco indenização por benfeitorias eventualmente introduzidas no imóvel após a data da aquisição, em relação às quais o COMPRADOR não poderá exercer o direito de retenção.</w:t>
      </w:r>
    </w:p>
    <w:p w14:paraId="0000003C" w14:textId="77777777" w:rsidR="002D4237" w:rsidRDefault="00000000">
      <w:pPr>
        <w:spacing w:before="300" w:after="160"/>
      </w:pPr>
      <w:r>
        <w:rPr>
          <w:rFonts w:ascii="Calibri" w:eastAsia="Calibri" w:hAnsi="Calibri" w:cs="Calibri"/>
          <w:b/>
          <w:bCs/>
          <w:sz w:val="23"/>
          <w:szCs w:val="23"/>
        </w:rPr>
        <w:t>Desistência e descumprimento</w:t>
      </w:r>
    </w:p>
    <w:p w14:paraId="0000003D" w14:textId="77777777" w:rsidR="002D4237" w:rsidRDefault="00000000">
      <w:pPr>
        <w:spacing w:after="200" w:line="276" w:lineRule="auto"/>
        <w:jc w:val="both"/>
      </w:pPr>
      <w:r>
        <w:rPr>
          <w:rFonts w:ascii="Calibri" w:eastAsia="Calibri" w:hAnsi="Calibri" w:cs="Calibri"/>
          <w:sz w:val="21"/>
          <w:szCs w:val="21"/>
        </w:rPr>
        <w:t>Antes da data da assinatura da Escritura Pública de Venda e Compra, é permitida a desistência ou arrependimento da venda pelo VENDEDOR, nas seguintes hipóteses: a) por impossibilidade documental; b) quando o COMPRADOR tiver seu nome citado ou envolvido, direta ou indiretamente, em fato público que o exponha de maneira negativa ou integre, sob qualquer aspecto, investigação em âmbito administrativo, civil ou penal; c) quando a venda não atender aos interesses do VENDEDOR (ainda que enquadrada nas condições do leilão); d) nos casos previstos em lei; e) por exclusiva opção do VENDEDOR. Em qualquer dessas hipóteses será restituída ao COMPRADOR a quantia por ele eventualmente paga pelo imóvel arrematado até aquele momento (incluindo-se a comissão do leiloeiro, impostos e taxas), devidamente atualizada pelos mesmos índices aplicados às cadernetas de poupança, renunciando expressamente o COMPRADOR, desde já, a qualquer outra restituição ou indenização.</w:t>
      </w:r>
    </w:p>
    <w:p w14:paraId="0000003E" w14:textId="77777777" w:rsidR="002D4237" w:rsidRDefault="00000000">
      <w:pPr>
        <w:spacing w:after="200" w:line="276" w:lineRule="auto"/>
        <w:jc w:val="both"/>
      </w:pPr>
      <w:r>
        <w:rPr>
          <w:rFonts w:ascii="Calibri" w:eastAsia="Calibri" w:hAnsi="Calibri" w:cs="Calibri"/>
          <w:sz w:val="21"/>
          <w:szCs w:val="21"/>
        </w:rPr>
        <w:t>Sobrevindo decisão judicial em sede de liminar, levada a conhecimento do Leiloeiro e que determine a suspensão ou cancelamento do leilão do imóvel após arrematação, o negócio permanecerá suspenso e não haverá devolução de valores ou desfazimento do negócio até o trânsito em julgado da decisão que assim determinou. Caso por decisão transitada em julgado a arrematação tenha que ser desfeita, o negócio ficará restrito apenas à devolução do valor do preço pago pelo COMPRADOR. Esses valores serão atualizados monetariamente pelos mesmos índices aplicados às cadernetas de poupança. A devolução dos valores será feita por meio de crédito em conta corrente de titularidade do COMPRADOR.</w:t>
      </w:r>
    </w:p>
    <w:p w14:paraId="0000003F" w14:textId="77777777" w:rsidR="002D4237" w:rsidRDefault="00000000">
      <w:pPr>
        <w:spacing w:after="200" w:line="276" w:lineRule="auto"/>
        <w:jc w:val="both"/>
      </w:pPr>
      <w:r>
        <w:rPr>
          <w:rFonts w:ascii="Calibri" w:eastAsia="Calibri" w:hAnsi="Calibri" w:cs="Calibri"/>
          <w:sz w:val="21"/>
          <w:szCs w:val="21"/>
        </w:rPr>
        <w:t>Não cumprida a obrigação no prazo acima indicado, o VENDEDOR poderá considerar o negócio terminado e o COMPRADOR perderá todos os direitos relativos ao imóvel, ficando este liberado para nova venda.</w:t>
      </w:r>
    </w:p>
    <w:p w14:paraId="00000040" w14:textId="77777777" w:rsidR="002D4237" w:rsidRDefault="00000000">
      <w:pPr>
        <w:spacing w:after="200" w:line="276" w:lineRule="auto"/>
        <w:jc w:val="both"/>
      </w:pPr>
      <w:r>
        <w:rPr>
          <w:rFonts w:ascii="Calibri" w:eastAsia="Calibri" w:hAnsi="Calibri" w:cs="Calibri"/>
          <w:sz w:val="21"/>
          <w:szCs w:val="21"/>
        </w:rPr>
        <w:t>Na hipótese de cancelamento da venda por não pagamento em 24 horas, o COMPRADOR arcará com o pagamento de multa no valor equivalente a 20% (vinte por cento) do montante ao VENDEDOR, sendo imediatamente considerado o lance anterior como VENCEDOR.</w:t>
      </w:r>
    </w:p>
    <w:p w14:paraId="00000041" w14:textId="77777777" w:rsidR="002D4237" w:rsidRDefault="00000000">
      <w:pPr>
        <w:spacing w:after="200" w:line="276" w:lineRule="auto"/>
        <w:jc w:val="both"/>
      </w:pPr>
      <w:r>
        <w:rPr>
          <w:rFonts w:ascii="Calibri" w:eastAsia="Calibri" w:hAnsi="Calibri" w:cs="Calibri"/>
          <w:sz w:val="21"/>
          <w:szCs w:val="21"/>
        </w:rPr>
        <w:lastRenderedPageBreak/>
        <w:t>No caso de devolução dos valores pagos pelo Comprador, o VENDEDOR fará a devolução dos valores referentes aos itens 4.1 e 4.1.1 até 30 (trinta) dias contados da data do deferimento do pedido, por meio de depósito na conta corrente de titularidade do COMPRADOR.</w:t>
      </w:r>
    </w:p>
    <w:p w14:paraId="00000042" w14:textId="77777777" w:rsidR="002D4237" w:rsidRDefault="00000000">
      <w:pPr>
        <w:spacing w:after="200" w:line="276" w:lineRule="auto"/>
        <w:jc w:val="both"/>
      </w:pPr>
      <w:r>
        <w:rPr>
          <w:rFonts w:ascii="Calibri" w:eastAsia="Calibri" w:hAnsi="Calibri" w:cs="Calibri"/>
          <w:sz w:val="21"/>
          <w:szCs w:val="21"/>
        </w:rPr>
        <w:t>Caso o COMPRADOR não possa ser encontrado nos endereços por ele cadastrados junto ao VENDEDOR, o VENDEDOR procederá à devolução dos valores acima mencionados mediante ordem de pagamento à disposição do COMPRADOR ou consignação de pagamento.</w:t>
      </w:r>
    </w:p>
    <w:p w14:paraId="00000043" w14:textId="77777777" w:rsidR="002D4237" w:rsidRDefault="00000000">
      <w:pPr>
        <w:spacing w:after="200" w:line="276" w:lineRule="auto"/>
        <w:jc w:val="both"/>
      </w:pPr>
      <w:r>
        <w:rPr>
          <w:rFonts w:ascii="Calibri" w:eastAsia="Calibri" w:hAnsi="Calibri" w:cs="Calibri"/>
          <w:sz w:val="21"/>
          <w:szCs w:val="21"/>
        </w:rPr>
        <w:t>Na hipótese de devolução de cheques, estes ficarão à disposição do COMPRADOR para retirada após a quitação da multa por ele devida nos termos do subitem 4.3.</w:t>
      </w:r>
    </w:p>
    <w:p w14:paraId="00000044" w14:textId="77777777" w:rsidR="002D4237" w:rsidRDefault="00000000">
      <w:pPr>
        <w:spacing w:before="300" w:after="160"/>
      </w:pPr>
      <w:r>
        <w:rPr>
          <w:rFonts w:ascii="Calibri" w:eastAsia="Calibri" w:hAnsi="Calibri" w:cs="Calibri"/>
          <w:b/>
          <w:bCs/>
          <w:sz w:val="23"/>
          <w:szCs w:val="23"/>
        </w:rPr>
        <w:t>Restituição do imóvel</w:t>
      </w:r>
    </w:p>
    <w:p w14:paraId="00000045" w14:textId="77777777" w:rsidR="002D4237" w:rsidRDefault="00000000">
      <w:pPr>
        <w:spacing w:after="200" w:line="276" w:lineRule="auto"/>
        <w:jc w:val="both"/>
      </w:pPr>
      <w:r>
        <w:rPr>
          <w:rFonts w:ascii="Calibri" w:eastAsia="Calibri" w:hAnsi="Calibri" w:cs="Calibri"/>
          <w:sz w:val="21"/>
          <w:szCs w:val="21"/>
        </w:rPr>
        <w:t>Ocorrendo o término da venda, por qualquer motivo, o COMPRADOR deverá, no prazo de 30 (trinta) dias contados da resolução, devolver o imóvel ao VENDEDOR. O imóvel deverá ser restituído em estado de conservação compatível com o recebido, com os tributos, despesas e encargos assumidos pelo COMPRADOR devidamente quitados e completamente desocupado de pessoas e coisas, ressalvada ocupação já existente na data de arrematação em relação à qual os esforços do COMPRADOR para desocupação não tenham surtido efeitos.</w:t>
      </w:r>
    </w:p>
    <w:p w14:paraId="00000046" w14:textId="77777777" w:rsidR="002D4237" w:rsidRDefault="00000000">
      <w:pPr>
        <w:spacing w:after="200" w:line="276" w:lineRule="auto"/>
        <w:jc w:val="both"/>
      </w:pPr>
      <w:r>
        <w:rPr>
          <w:rFonts w:ascii="Calibri" w:eastAsia="Calibri" w:hAnsi="Calibri" w:cs="Calibri"/>
          <w:sz w:val="21"/>
          <w:szCs w:val="21"/>
        </w:rPr>
        <w:t>A não restituição do imóvel no prazo e forma previstos caracterizará esbulho possessório e implicará, para o COMPRADOR, até o cumprimento de referidas obrigações, pagamento mensal ao VENDEDOR, a título de aluguel, do equivalente a 2% (dois por cento) do preço do imóvel, devidamente atualizado de acordo com a variação do IGPM-FGV, sem prejuízo da adoção de demais medidas aplicáveis.</w:t>
      </w:r>
    </w:p>
    <w:p w14:paraId="00000047" w14:textId="77777777" w:rsidR="002D4237" w:rsidRDefault="00000000">
      <w:pPr>
        <w:spacing w:before="300" w:after="160"/>
      </w:pPr>
      <w:r>
        <w:rPr>
          <w:rFonts w:ascii="Calibri" w:eastAsia="Calibri" w:hAnsi="Calibri" w:cs="Calibri"/>
          <w:b/>
          <w:bCs/>
          <w:sz w:val="23"/>
          <w:szCs w:val="23"/>
        </w:rPr>
        <w:t>Disposições finais</w:t>
      </w:r>
    </w:p>
    <w:p w14:paraId="00000048" w14:textId="77777777" w:rsidR="002D4237" w:rsidRDefault="00000000">
      <w:pPr>
        <w:spacing w:after="200" w:line="276" w:lineRule="auto"/>
        <w:jc w:val="both"/>
      </w:pPr>
      <w:r>
        <w:rPr>
          <w:rFonts w:ascii="Calibri" w:eastAsia="Calibri" w:hAnsi="Calibri" w:cs="Calibri"/>
          <w:sz w:val="21"/>
          <w:szCs w:val="21"/>
        </w:rPr>
        <w:t>O não exercício, pelo VENDEDOR, de quaisquer direitos ou faculdades que lhe concedem a lei, este Edital e/ou o instrumento utilizado para formalizar a venda, importará mera tolerância, não constituindo novação contratual ou renúncia de direitos.</w:t>
      </w:r>
    </w:p>
    <w:p w14:paraId="00000049" w14:textId="77777777" w:rsidR="002D4237" w:rsidRDefault="00000000">
      <w:pPr>
        <w:spacing w:after="200" w:line="276" w:lineRule="auto"/>
        <w:jc w:val="both"/>
      </w:pPr>
      <w:r>
        <w:rPr>
          <w:rFonts w:ascii="Calibri" w:eastAsia="Calibri" w:hAnsi="Calibri" w:cs="Calibri"/>
          <w:sz w:val="21"/>
          <w:szCs w:val="21"/>
        </w:rPr>
        <w:t>Fica eleito o Foro da Comarca da Capital do Estado de São Paulo, para nele serem dirimidas quaisquer dúvidas ou questões oriundas do presente edital.</w:t>
      </w:r>
    </w:p>
    <w:p w14:paraId="0000004A" w14:textId="77777777" w:rsidR="002D4237" w:rsidRDefault="00000000">
      <w:pPr>
        <w:spacing w:after="500" w:line="276" w:lineRule="auto"/>
      </w:pPr>
      <w:r>
        <w:rPr>
          <w:rFonts w:ascii="Calibri" w:eastAsia="Calibri" w:hAnsi="Calibri" w:cs="Calibri"/>
          <w:sz w:val="21"/>
          <w:szCs w:val="21"/>
        </w:rPr>
        <w:t>São Paulo, 25 de agosto de 2026</w:t>
      </w:r>
    </w:p>
    <w:p w14:paraId="0000004B" w14:textId="77777777" w:rsidR="002D4237" w:rsidRDefault="00000000">
      <w:pPr>
        <w:spacing w:after="40"/>
      </w:pPr>
      <w:r>
        <w:rPr>
          <w:rFonts w:ascii="Calibri" w:eastAsia="Calibri" w:hAnsi="Calibri" w:cs="Calibri"/>
          <w:sz w:val="21"/>
          <w:szCs w:val="21"/>
        </w:rPr>
        <w:t>________________________________________________________</w:t>
      </w:r>
    </w:p>
    <w:p w14:paraId="0000004C" w14:textId="77777777" w:rsidR="002D4237" w:rsidRDefault="00000000">
      <w:pPr>
        <w:spacing w:after="400" w:line="276" w:lineRule="auto"/>
      </w:pPr>
      <w:r>
        <w:rPr>
          <w:rFonts w:ascii="Calibri" w:eastAsia="Calibri" w:hAnsi="Calibri" w:cs="Calibri"/>
          <w:b/>
          <w:bCs/>
          <w:sz w:val="21"/>
          <w:szCs w:val="21"/>
        </w:rPr>
        <w:t>VERT COMPANHIA SECURITIZADORA</w:t>
      </w:r>
      <w:r>
        <w:rPr>
          <w:rFonts w:ascii="Calibri" w:eastAsia="Calibri" w:hAnsi="Calibri" w:cs="Calibri"/>
          <w:sz w:val="21"/>
          <w:szCs w:val="21"/>
        </w:rPr>
        <w:t xml:space="preserve">  CNPJ 25.005.683/0001-09</w:t>
      </w:r>
    </w:p>
    <w:p w14:paraId="0000004D" w14:textId="77777777" w:rsidR="002D4237" w:rsidRDefault="00000000">
      <w:pPr>
        <w:spacing w:after="40"/>
      </w:pPr>
      <w:r>
        <w:rPr>
          <w:rFonts w:ascii="Calibri" w:eastAsia="Calibri" w:hAnsi="Calibri" w:cs="Calibri"/>
          <w:sz w:val="21"/>
          <w:szCs w:val="21"/>
        </w:rPr>
        <w:t>______________________</w:t>
      </w:r>
    </w:p>
    <w:p w14:paraId="0000004E" w14:textId="77777777" w:rsidR="002D4237" w:rsidRDefault="00000000">
      <w:pPr>
        <w:spacing w:after="200" w:line="276" w:lineRule="auto"/>
      </w:pPr>
      <w:r>
        <w:rPr>
          <w:rFonts w:ascii="Calibri" w:eastAsia="Calibri" w:hAnsi="Calibri" w:cs="Calibri"/>
          <w:b/>
          <w:bCs/>
          <w:sz w:val="21"/>
          <w:szCs w:val="21"/>
        </w:rPr>
        <w:t>STEPHANI DA SILVA NEVES</w:t>
      </w:r>
      <w:r>
        <w:rPr>
          <w:rFonts w:ascii="Calibri" w:eastAsia="Calibri" w:hAnsi="Calibri" w:cs="Calibri"/>
          <w:sz w:val="21"/>
          <w:szCs w:val="21"/>
        </w:rPr>
        <w:t xml:space="preserve">  Leiloeira Oficial — JUCESP n° 1576</w:t>
      </w:r>
    </w:p>
    <w:sectPr w:rsidR="002D423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2CCF104-C6F6-4308-A70F-D647E58FD574}"/>
  </w:font>
  <w:font w:name="Calibri">
    <w:panose1 w:val="020F0502020204030204"/>
    <w:charset w:val="00"/>
    <w:family w:val="swiss"/>
    <w:pitch w:val="variable"/>
    <w:sig w:usb0="E4002EFF" w:usb1="C200247B" w:usb2="00000009" w:usb3="00000000" w:csb0="000001FF" w:csb1="00000000"/>
    <w:embedRegular r:id="rId2" w:fontKey="{8E31AA93-BE60-4410-B7CC-7630AD56A182}"/>
    <w:embedBold r:id="rId3" w:fontKey="{9A63541C-A396-426A-8E6E-68A26D6C71FE}"/>
  </w:font>
  <w:font w:name="Cambria">
    <w:panose1 w:val="02040503050406030204"/>
    <w:charset w:val="00"/>
    <w:family w:val="roman"/>
    <w:pitch w:val="variable"/>
    <w:sig w:usb0="E00006FF" w:usb1="420024FF" w:usb2="02000000" w:usb3="00000000" w:csb0="0000019F" w:csb1="00000000"/>
    <w:embedRegular r:id="rId4" w:fontKey="{CF3474E1-D71C-4D75-A7F4-3E53A8E4737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81F53"/>
    <w:multiLevelType w:val="multilevel"/>
    <w:tmpl w:val="D904077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79020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237"/>
    <w:rsid w:val="002D4237"/>
    <w:rsid w:val="007F72DD"/>
    <w:rsid w:val="008B0AB0"/>
    <w:rsid w:val="00DF1C45"/>
    <w:rsid w:val="00FA7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A180"/>
  <w15:docId w15:val="{7A56BB94-1820-4599-9568-C65EE158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Ttulo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table" w:customStyle="1" w:styleId="TableNormal0">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iJ/Wk0rPsJGEY65ZLcy+wefggg==">CgMxLjA4AHIhMXFYNmJvWU9zMGVQX3RFUmdyWWN0SkF0UXRFLTJjakJs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3603</Words>
  <Characters>19462</Characters>
  <Application>Microsoft Office Word</Application>
  <DocSecurity>0</DocSecurity>
  <Lines>162</Lines>
  <Paragraphs>46</Paragraphs>
  <ScaleCrop>false</ScaleCrop>
  <Company/>
  <LinksUpToDate>false</LinksUpToDate>
  <CharactersWithSpaces>23019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Thais Reis</cp:lastModifiedBy>
  <cp:revision>3</cp:revision>
  <dcterms:created xsi:type="dcterms:W3CDTF">2026-09-01T19:32:00Z</dcterms:created>
  <dcterms:modified xsi:type="dcterms:W3CDTF">2026-09-08T13:14:00Z</dcterms:modified>
</cp:coreProperties>
</file>